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40663C">
      <w:r>
        <w:t xml:space="preserve">From: </w:t>
      </w:r>
      <w:hyperlink r:id="rId4" w:history="1">
        <w:r>
          <w:rPr>
            <w:rStyle w:val="Hyperlink"/>
          </w:rPr>
          <w:t>https://www.economist.c</w:t>
        </w:r>
        <w:r>
          <w:rPr>
            <w:rStyle w:val="Hyperlink"/>
          </w:rPr>
          <w:t>o</w:t>
        </w:r>
        <w:r>
          <w:rPr>
            <w:rStyle w:val="Hyperlink"/>
          </w:rPr>
          <w:t>m/finance-and-economics/2020/01/09/new-research-suggests-that-secular-stagnation-is-centuries-old</w:t>
        </w:r>
      </w:hyperlink>
    </w:p>
    <w:p w:rsidR="0040663C" w:rsidRPr="0040663C" w:rsidRDefault="0040663C" w:rsidP="0040663C">
      <w:pPr>
        <w:spacing w:after="0" w:line="240" w:lineRule="auto"/>
        <w:textAlignment w:val="baseline"/>
        <w:rPr>
          <w:rFonts w:ascii="Calisto MT" w:eastAsia="Times New Roman" w:hAnsi="Calisto MT" w:cs="Times New Roman"/>
          <w:color w:val="121212"/>
          <w:sz w:val="24"/>
          <w:szCs w:val="24"/>
        </w:rPr>
      </w:pPr>
      <w:r w:rsidRPr="0040663C">
        <w:rPr>
          <w:rFonts w:ascii="Calisto MT" w:eastAsia="Times New Roman" w:hAnsi="Calisto MT" w:cs="Times New Roman"/>
          <w:noProof/>
          <w:color w:val="121212"/>
          <w:sz w:val="24"/>
          <w:szCs w:val="24"/>
        </w:rPr>
        <w:drawing>
          <wp:inline distT="0" distB="0" distL="0" distR="0">
            <wp:extent cx="4360352" cy="2453593"/>
            <wp:effectExtent l="0" t="0" r="2540" b="4445"/>
            <wp:docPr id="2" name="Picture 2" descr="https://www.economist.com/sites/default/files/images/print-edition/20200111_FND00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conomist.com/sites/default/files/images/print-edition/20200111_FND001_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77543" cy="2463266"/>
                    </a:xfrm>
                    <a:prstGeom prst="rect">
                      <a:avLst/>
                    </a:prstGeom>
                    <a:noFill/>
                    <a:ln>
                      <a:noFill/>
                    </a:ln>
                  </pic:spPr>
                </pic:pic>
              </a:graphicData>
            </a:graphic>
          </wp:inline>
        </w:drawing>
      </w:r>
    </w:p>
    <w:p w:rsidR="0040663C" w:rsidRPr="0040663C" w:rsidRDefault="0040663C" w:rsidP="0040663C">
      <w:pPr>
        <w:spacing w:after="0" w:line="240" w:lineRule="auto"/>
        <w:textAlignment w:val="baseline"/>
        <w:outlineLvl w:val="0"/>
        <w:rPr>
          <w:rFonts w:ascii="Calisto MT" w:eastAsia="Times New Roman" w:hAnsi="Calisto MT" w:cs="Times New Roman"/>
          <w:b/>
          <w:bCs/>
          <w:color w:val="121212"/>
          <w:kern w:val="36"/>
          <w:sz w:val="48"/>
          <w:szCs w:val="48"/>
        </w:rPr>
      </w:pPr>
      <w:r w:rsidRPr="0040663C">
        <w:rPr>
          <w:rFonts w:ascii="var(--ds-type-system-sans)" w:eastAsia="Times New Roman" w:hAnsi="var(--ds-type-system-sans)" w:cs="Times New Roman"/>
          <w:color w:val="121212"/>
          <w:kern w:val="36"/>
          <w:sz w:val="48"/>
          <w:szCs w:val="48"/>
          <w:bdr w:val="none" w:sz="0" w:space="0" w:color="auto" w:frame="1"/>
        </w:rPr>
        <w:t>Capital in the 14th century</w:t>
      </w:r>
      <w:r w:rsidRPr="0040663C">
        <w:rPr>
          <w:rFonts w:ascii="Calisto MT" w:eastAsia="Times New Roman" w:hAnsi="Calisto MT" w:cs="Times New Roman"/>
          <w:b/>
          <w:bCs/>
          <w:color w:val="121212"/>
          <w:kern w:val="36"/>
          <w:sz w:val="48"/>
          <w:szCs w:val="48"/>
        </w:rPr>
        <w:br/>
      </w:r>
      <w:r w:rsidRPr="0040663C">
        <w:rPr>
          <w:rFonts w:ascii="var(--ds-type-system-serif)" w:eastAsia="Times New Roman" w:hAnsi="var(--ds-type-system-serif)" w:cs="Times New Roman"/>
          <w:color w:val="121212"/>
          <w:kern w:val="36"/>
          <w:sz w:val="48"/>
          <w:szCs w:val="48"/>
          <w:bdr w:val="none" w:sz="0" w:space="0" w:color="auto" w:frame="1"/>
        </w:rPr>
        <w:t>New research suggests that secular stagnation is centuries old</w:t>
      </w:r>
    </w:p>
    <w:p w:rsidR="0040663C" w:rsidRPr="0040663C" w:rsidRDefault="0040663C" w:rsidP="0040663C">
      <w:pPr>
        <w:spacing w:before="100" w:beforeAutospacing="1" w:after="100" w:afterAutospacing="1" w:line="240" w:lineRule="auto"/>
        <w:textAlignment w:val="baseline"/>
        <w:rPr>
          <w:rFonts w:ascii="var(--ds-type-system-serif)" w:eastAsia="Times New Roman" w:hAnsi="var(--ds-type-system-serif)" w:cs="Times New Roman"/>
          <w:color w:val="121212"/>
          <w:sz w:val="24"/>
          <w:szCs w:val="24"/>
        </w:rPr>
      </w:pPr>
      <w:r w:rsidRPr="0040663C">
        <w:rPr>
          <w:rFonts w:ascii="var(--ds-type-system-serif)" w:eastAsia="Times New Roman" w:hAnsi="var(--ds-type-system-serif)" w:cs="Times New Roman"/>
          <w:color w:val="121212"/>
          <w:sz w:val="24"/>
          <w:szCs w:val="24"/>
        </w:rPr>
        <w:t>Central bankers’ biggest problem may be ancient—and getting worse</w:t>
      </w:r>
    </w:p>
    <w:p w:rsidR="0040663C" w:rsidRPr="0040663C" w:rsidRDefault="0040663C" w:rsidP="0040663C">
      <w:pPr>
        <w:spacing w:after="0" w:line="240" w:lineRule="auto"/>
        <w:textAlignment w:val="baseline"/>
        <w:rPr>
          <w:rFonts w:ascii="Calisto MT" w:eastAsia="Times New Roman" w:hAnsi="Calisto MT" w:cs="Times New Roman"/>
          <w:color w:val="121212"/>
          <w:sz w:val="24"/>
          <w:szCs w:val="24"/>
        </w:rPr>
      </w:pPr>
      <w:hyperlink r:id="rId6" w:history="1">
        <w:r w:rsidRPr="0040663C">
          <w:rPr>
            <w:rFonts w:ascii="var(--ds-type-system-sans)" w:eastAsia="Times New Roman" w:hAnsi="var(--ds-type-system-sans)" w:cs="Times New Roman"/>
            <w:b/>
            <w:bCs/>
            <w:color w:val="0000FF"/>
            <w:sz w:val="24"/>
            <w:szCs w:val="24"/>
            <w:u w:val="single"/>
            <w:bdr w:val="none" w:sz="0" w:space="0" w:color="auto" w:frame="1"/>
          </w:rPr>
          <w:t>Finance and economics</w:t>
        </w:r>
      </w:hyperlink>
      <w:r w:rsidR="00B439F1">
        <w:rPr>
          <w:rFonts w:ascii="var(--ds-type-system-sans)" w:eastAsia="Times New Roman" w:hAnsi="var(--ds-type-system-sans)" w:cs="Times New Roman"/>
          <w:b/>
          <w:bCs/>
          <w:color w:val="121212"/>
          <w:sz w:val="24"/>
          <w:szCs w:val="24"/>
          <w:bdr w:val="none" w:sz="0" w:space="0" w:color="auto" w:frame="1"/>
        </w:rPr>
        <w:t xml:space="preserve"> </w:t>
      </w:r>
      <w:bookmarkStart w:id="0" w:name="_GoBack"/>
      <w:bookmarkEnd w:id="0"/>
      <w:r w:rsidRPr="0040663C">
        <w:rPr>
          <w:rFonts w:ascii="Calisto MT" w:eastAsia="Times New Roman" w:hAnsi="Calisto MT" w:cs="Times New Roman"/>
          <w:color w:val="121212"/>
          <w:sz w:val="24"/>
          <w:szCs w:val="24"/>
        </w:rPr>
        <w:fldChar w:fldCharType="begin"/>
      </w:r>
      <w:r w:rsidRPr="0040663C">
        <w:rPr>
          <w:rFonts w:ascii="Calisto MT" w:eastAsia="Times New Roman" w:hAnsi="Calisto MT" w:cs="Times New Roman"/>
          <w:color w:val="121212"/>
          <w:sz w:val="24"/>
          <w:szCs w:val="24"/>
        </w:rPr>
        <w:instrText xml:space="preserve"> HYPERLINK "https://www.economist.com/printedition/2020-01-11" </w:instrText>
      </w:r>
      <w:r w:rsidRPr="0040663C">
        <w:rPr>
          <w:rFonts w:ascii="Calisto MT" w:eastAsia="Times New Roman" w:hAnsi="Calisto MT" w:cs="Times New Roman"/>
          <w:color w:val="121212"/>
          <w:sz w:val="24"/>
          <w:szCs w:val="24"/>
        </w:rPr>
        <w:fldChar w:fldCharType="separate"/>
      </w:r>
      <w:r w:rsidRPr="0040663C">
        <w:rPr>
          <w:rFonts w:ascii="inherit" w:eastAsia="Times New Roman" w:hAnsi="inherit" w:cs="Times New Roman"/>
          <w:color w:val="0000FF"/>
          <w:sz w:val="24"/>
          <w:szCs w:val="24"/>
          <w:u w:val="single"/>
          <w:bdr w:val="none" w:sz="0" w:space="0" w:color="auto" w:frame="1"/>
        </w:rPr>
        <w:t>Jan 9th 2020 edition</w:t>
      </w:r>
      <w:r w:rsidRPr="0040663C">
        <w:rPr>
          <w:rFonts w:ascii="Calisto MT" w:eastAsia="Times New Roman" w:hAnsi="Calisto MT" w:cs="Times New Roman"/>
          <w:color w:val="121212"/>
          <w:sz w:val="24"/>
          <w:szCs w:val="24"/>
        </w:rPr>
        <w:fldChar w:fldCharType="end"/>
      </w:r>
    </w:p>
    <w:p w:rsidR="0040663C" w:rsidRPr="0040663C" w:rsidRDefault="0040663C" w:rsidP="0040663C">
      <w:pPr>
        <w:spacing w:after="0" w:line="240" w:lineRule="auto"/>
        <w:textAlignment w:val="baseline"/>
        <w:rPr>
          <w:rFonts w:ascii="Calisto MT" w:eastAsia="Times New Roman" w:hAnsi="Calisto MT" w:cs="Times New Roman"/>
          <w:color w:val="121212"/>
          <w:sz w:val="24"/>
          <w:szCs w:val="24"/>
        </w:rPr>
      </w:pPr>
      <w:r w:rsidRPr="0040663C">
        <w:rPr>
          <w:rFonts w:ascii="Calisto MT" w:eastAsia="Times New Roman" w:hAnsi="Calisto MT" w:cs="Times New Roman"/>
          <w:color w:val="121212"/>
          <w:sz w:val="24"/>
          <w:szCs w:val="24"/>
        </w:rPr>
        <w:pict>
          <v:rect id="_x0000_i1025" style="width:525pt;height:1.5pt" o:hrpct="0" o:hralign="center" o:hrstd="t" o:hr="t" fillcolor="#a0a0a0" stroked="f"/>
        </w:pict>
      </w:r>
    </w:p>
    <w:p w:rsidR="0040663C" w:rsidRPr="0040663C" w:rsidRDefault="0040663C" w:rsidP="0040663C">
      <w:pPr>
        <w:spacing w:after="0" w:line="240" w:lineRule="auto"/>
        <w:textAlignment w:val="baseline"/>
        <w:rPr>
          <w:rFonts w:ascii="Calisto MT" w:eastAsia="Times New Roman" w:hAnsi="Calisto MT" w:cs="Times New Roman"/>
          <w:color w:val="121212"/>
          <w:sz w:val="24"/>
          <w:szCs w:val="24"/>
        </w:rPr>
      </w:pPr>
      <w:r w:rsidRPr="0040663C">
        <w:rPr>
          <w:rFonts w:ascii="Calisto MT" w:eastAsia="Times New Roman" w:hAnsi="Calisto MT" w:cs="Times New Roman"/>
          <w:color w:val="121212"/>
          <w:sz w:val="24"/>
          <w:szCs w:val="24"/>
        </w:rPr>
        <w:t>Jan 9th 2020</w:t>
      </w:r>
    </w:p>
    <w:p w:rsidR="0040663C" w:rsidRPr="0040663C" w:rsidRDefault="0040663C" w:rsidP="0040663C">
      <w:pPr>
        <w:spacing w:beforeAutospacing="1" w:after="0" w:afterAutospacing="1" w:line="240" w:lineRule="auto"/>
        <w:textAlignment w:val="baseline"/>
        <w:rPr>
          <w:rFonts w:ascii="var(--ds-type-system-serif)" w:eastAsia="Times New Roman" w:hAnsi="var(--ds-type-system-serif)" w:cs="Times New Roman"/>
          <w:color w:val="121212"/>
          <w:sz w:val="24"/>
          <w:szCs w:val="24"/>
        </w:rPr>
      </w:pPr>
      <w:r w:rsidRPr="0040663C">
        <w:rPr>
          <w:rFonts w:ascii="inherit" w:eastAsia="Times New Roman" w:hAnsi="inherit" w:cs="Times New Roman"/>
          <w:caps/>
          <w:color w:val="121212"/>
          <w:sz w:val="24"/>
          <w:szCs w:val="24"/>
          <w:bdr w:val="none" w:sz="0" w:space="0" w:color="auto" w:frame="1"/>
        </w:rPr>
        <w:t>H</w:t>
      </w:r>
      <w:r w:rsidRPr="0040663C">
        <w:rPr>
          <w:rFonts w:ascii="var(--ds-type-system-serif)" w:eastAsia="Times New Roman" w:hAnsi="var(--ds-type-system-serif)" w:cs="Times New Roman"/>
          <w:color w:val="121212"/>
          <w:sz w:val="20"/>
          <w:szCs w:val="20"/>
          <w:bdr w:val="none" w:sz="0" w:space="0" w:color="auto" w:frame="1"/>
        </w:rPr>
        <w:t>ow low</w:t>
      </w:r>
      <w:r w:rsidRPr="0040663C">
        <w:rPr>
          <w:rFonts w:ascii="var(--ds-type-system-serif)" w:eastAsia="Times New Roman" w:hAnsi="var(--ds-type-system-serif)" w:cs="Times New Roman"/>
          <w:color w:val="121212"/>
          <w:sz w:val="24"/>
          <w:szCs w:val="24"/>
        </w:rPr>
        <w:t> can interest rates go? It is a question that worries central bankers everywhere. Since the global financial crisis of 2007-08 rates have been pushed down to unprecedented levels in order to prop up growth. With central banks’ interest rates near or below zero across much of the world, room for further cuts to combat the next downturn is limited. If America’s Federal Reserve can manage to keep nominal rates at 2% or higher over the long term, it should be able to cope with the help of policies such as quantitative easing, mused Ben Bernanke, a former Fed chairman, at the conference of the American Economic Association (</w:t>
      </w:r>
      <w:proofErr w:type="spellStart"/>
      <w:r w:rsidRPr="0040663C">
        <w:rPr>
          <w:rFonts w:ascii="var(--ds-type-system-serif)" w:eastAsia="Times New Roman" w:hAnsi="var(--ds-type-system-serif)" w:cs="Times New Roman"/>
          <w:color w:val="121212"/>
          <w:sz w:val="20"/>
          <w:szCs w:val="20"/>
          <w:bdr w:val="none" w:sz="0" w:space="0" w:color="auto" w:frame="1"/>
        </w:rPr>
        <w:t>aea</w:t>
      </w:r>
      <w:proofErr w:type="spellEnd"/>
      <w:r w:rsidRPr="0040663C">
        <w:rPr>
          <w:rFonts w:ascii="var(--ds-type-system-serif)" w:eastAsia="Times New Roman" w:hAnsi="var(--ds-type-system-serif)" w:cs="Times New Roman"/>
          <w:color w:val="121212"/>
          <w:sz w:val="24"/>
          <w:szCs w:val="24"/>
        </w:rPr>
        <w:t>) on January 4th. Alas, a working paper* published by the Bank of England the previous day suggests that rates could have further to fall.</w:t>
      </w:r>
    </w:p>
    <w:p w:rsidR="0040663C" w:rsidRPr="0040663C" w:rsidRDefault="0040663C" w:rsidP="0040663C">
      <w:pPr>
        <w:spacing w:beforeAutospacing="1" w:after="0" w:afterAutospacing="1" w:line="240" w:lineRule="auto"/>
        <w:textAlignment w:val="baseline"/>
        <w:rPr>
          <w:rFonts w:ascii="var(--ds-type-system-serif)" w:eastAsia="Times New Roman" w:hAnsi="var(--ds-type-system-serif)" w:cs="Times New Roman"/>
          <w:color w:val="121212"/>
          <w:sz w:val="24"/>
          <w:szCs w:val="24"/>
        </w:rPr>
      </w:pPr>
      <w:r w:rsidRPr="0040663C">
        <w:rPr>
          <w:rFonts w:ascii="var(--ds-type-system-serif)" w:eastAsia="Times New Roman" w:hAnsi="var(--ds-type-system-serif)" w:cs="Times New Roman"/>
          <w:color w:val="121212"/>
          <w:sz w:val="24"/>
          <w:szCs w:val="24"/>
        </w:rPr>
        <w:t xml:space="preserve">Most research on long-term trends in interest rates relies on data from the past century. But </w:t>
      </w:r>
      <w:r w:rsidRPr="0040663C">
        <w:rPr>
          <w:rFonts w:ascii="var(--ds-type-system-serif)" w:eastAsia="Times New Roman" w:hAnsi="var(--ds-type-system-serif)" w:cs="Times New Roman"/>
          <w:color w:val="121212"/>
          <w:sz w:val="24"/>
          <w:szCs w:val="24"/>
          <w:highlight w:val="yellow"/>
        </w:rPr>
        <w:t xml:space="preserve">Paul </w:t>
      </w:r>
      <w:proofErr w:type="spellStart"/>
      <w:r w:rsidRPr="0040663C">
        <w:rPr>
          <w:rFonts w:ascii="var(--ds-type-system-serif)" w:eastAsia="Times New Roman" w:hAnsi="var(--ds-type-system-serif)" w:cs="Times New Roman"/>
          <w:color w:val="121212"/>
          <w:sz w:val="24"/>
          <w:szCs w:val="24"/>
          <w:highlight w:val="yellow"/>
        </w:rPr>
        <w:t>Schmelzing</w:t>
      </w:r>
      <w:proofErr w:type="spellEnd"/>
      <w:r w:rsidRPr="0040663C">
        <w:rPr>
          <w:rFonts w:ascii="var(--ds-type-system-serif)" w:eastAsia="Times New Roman" w:hAnsi="var(--ds-type-system-serif)" w:cs="Times New Roman"/>
          <w:color w:val="121212"/>
          <w:sz w:val="24"/>
          <w:szCs w:val="24"/>
        </w:rPr>
        <w:t xml:space="preserve"> of the Yale School of Management has gathered information on real interest rates (that is, corrected for inflation) covering 78% of advanced-economy </w:t>
      </w:r>
      <w:proofErr w:type="spellStart"/>
      <w:r w:rsidRPr="0040663C">
        <w:rPr>
          <w:rFonts w:ascii="var(--ds-type-system-serif)" w:eastAsia="Times New Roman" w:hAnsi="var(--ds-type-system-serif)" w:cs="Times New Roman"/>
          <w:color w:val="121212"/>
          <w:sz w:val="20"/>
          <w:szCs w:val="20"/>
          <w:bdr w:val="none" w:sz="0" w:space="0" w:color="auto" w:frame="1"/>
        </w:rPr>
        <w:t>gdp</w:t>
      </w:r>
      <w:proofErr w:type="spellEnd"/>
      <w:r w:rsidRPr="0040663C">
        <w:rPr>
          <w:rFonts w:ascii="var(--ds-type-system-serif)" w:eastAsia="Times New Roman" w:hAnsi="var(--ds-type-system-serif)" w:cs="Times New Roman"/>
          <w:color w:val="121212"/>
          <w:sz w:val="24"/>
          <w:szCs w:val="24"/>
        </w:rPr>
        <w:t xml:space="preserve"> going back to the early 14th century, </w:t>
      </w:r>
      <w:r w:rsidRPr="0040663C">
        <w:rPr>
          <w:rFonts w:ascii="var(--ds-type-system-serif)" w:eastAsia="Times New Roman" w:hAnsi="var(--ds-type-system-serif)" w:cs="Times New Roman"/>
          <w:color w:val="121212"/>
          <w:sz w:val="24"/>
          <w:szCs w:val="24"/>
          <w:highlight w:val="yellow"/>
        </w:rPr>
        <w:t>when capitalism and free markets began to emerge</w:t>
      </w:r>
      <w:r w:rsidRPr="0040663C">
        <w:rPr>
          <w:rFonts w:ascii="var(--ds-type-system-serif)" w:eastAsia="Times New Roman" w:hAnsi="var(--ds-type-system-serif)" w:cs="Times New Roman"/>
          <w:color w:val="121212"/>
          <w:sz w:val="24"/>
          <w:szCs w:val="24"/>
        </w:rPr>
        <w:t xml:space="preserve">. He found that real rates have declined by 0.006-0.016 percentage points </w:t>
      </w:r>
      <w:r w:rsidRPr="0040663C">
        <w:rPr>
          <w:rFonts w:ascii="var(--ds-type-system-serif)" w:eastAsia="Times New Roman" w:hAnsi="var(--ds-type-system-serif)" w:cs="Times New Roman"/>
          <w:color w:val="121212"/>
          <w:sz w:val="24"/>
          <w:szCs w:val="24"/>
          <w:highlight w:val="yellow"/>
        </w:rPr>
        <w:t>[about 10 basis points]</w:t>
      </w:r>
      <w:r>
        <w:rPr>
          <w:rFonts w:ascii="var(--ds-type-system-serif)" w:eastAsia="Times New Roman" w:hAnsi="var(--ds-type-system-serif)" w:cs="Times New Roman"/>
          <w:color w:val="121212"/>
          <w:sz w:val="24"/>
          <w:szCs w:val="24"/>
        </w:rPr>
        <w:t xml:space="preserve"> </w:t>
      </w:r>
      <w:r w:rsidRPr="0040663C">
        <w:rPr>
          <w:rFonts w:ascii="var(--ds-type-system-serif)" w:eastAsia="Times New Roman" w:hAnsi="var(--ds-type-system-serif)" w:cs="Times New Roman"/>
          <w:color w:val="121212"/>
          <w:sz w:val="24"/>
          <w:szCs w:val="24"/>
        </w:rPr>
        <w:t xml:space="preserve">a year since the late Middle Ages (see chart). That may not seem much, but it means real interest rates have fallen </w:t>
      </w:r>
      <w:r w:rsidRPr="0040663C">
        <w:rPr>
          <w:rFonts w:ascii="var(--ds-type-system-serif)" w:eastAsia="Times New Roman" w:hAnsi="var(--ds-type-system-serif)" w:cs="Times New Roman"/>
          <w:color w:val="121212"/>
          <w:sz w:val="24"/>
          <w:szCs w:val="24"/>
          <w:highlight w:val="yellow"/>
        </w:rPr>
        <w:t>from an average of around 10% in the 15th century to just 0.4% in 2018</w:t>
      </w:r>
      <w:r w:rsidRPr="0040663C">
        <w:rPr>
          <w:rFonts w:ascii="var(--ds-type-system-serif)" w:eastAsia="Times New Roman" w:hAnsi="var(--ds-type-system-serif)" w:cs="Times New Roman"/>
          <w:color w:val="121212"/>
          <w:sz w:val="24"/>
          <w:szCs w:val="24"/>
        </w:rPr>
        <w:t>.</w:t>
      </w:r>
    </w:p>
    <w:p w:rsidR="0040663C" w:rsidRPr="0040663C" w:rsidRDefault="0040663C" w:rsidP="0040663C">
      <w:pPr>
        <w:spacing w:after="0" w:line="240" w:lineRule="auto"/>
        <w:textAlignment w:val="baseline"/>
        <w:rPr>
          <w:rFonts w:ascii="Calisto MT" w:eastAsia="Times New Roman" w:hAnsi="Calisto MT" w:cs="Times New Roman"/>
          <w:color w:val="121212"/>
          <w:sz w:val="24"/>
          <w:szCs w:val="24"/>
        </w:rPr>
      </w:pPr>
      <w:r w:rsidRPr="0040663C">
        <w:rPr>
          <w:rFonts w:ascii="Calisto MT" w:eastAsia="Times New Roman" w:hAnsi="Calisto MT" w:cs="Times New Roman"/>
          <w:noProof/>
          <w:color w:val="121212"/>
          <w:sz w:val="24"/>
          <w:szCs w:val="24"/>
        </w:rPr>
        <w:drawing>
          <wp:inline distT="0" distB="0" distL="0" distR="0">
            <wp:extent cx="5793740" cy="6305550"/>
            <wp:effectExtent l="0" t="0" r="0" b="0"/>
            <wp:docPr id="1" name="Picture 1" descr="https://www.economist.com/sites/default/files/images/print-edition/20200111_FNC9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conomist.com/sites/default/files/images/print-edition/20200111_FNC91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3740" cy="6305550"/>
                    </a:xfrm>
                    <a:prstGeom prst="rect">
                      <a:avLst/>
                    </a:prstGeom>
                    <a:noFill/>
                    <a:ln>
                      <a:noFill/>
                    </a:ln>
                  </pic:spPr>
                </pic:pic>
              </a:graphicData>
            </a:graphic>
          </wp:inline>
        </w:drawing>
      </w:r>
    </w:p>
    <w:p w:rsidR="0040663C" w:rsidRPr="0040663C" w:rsidRDefault="0040663C" w:rsidP="0040663C">
      <w:pPr>
        <w:spacing w:before="100" w:beforeAutospacing="1" w:after="100" w:afterAutospacing="1" w:line="240" w:lineRule="auto"/>
        <w:textAlignment w:val="baseline"/>
        <w:rPr>
          <w:rFonts w:ascii="var(--ds-type-system-serif)" w:eastAsia="Times New Roman" w:hAnsi="var(--ds-type-system-serif)" w:cs="Times New Roman"/>
          <w:color w:val="121212"/>
          <w:sz w:val="24"/>
          <w:szCs w:val="24"/>
        </w:rPr>
      </w:pPr>
      <w:r w:rsidRPr="0040663C">
        <w:rPr>
          <w:rFonts w:ascii="var(--ds-type-system-serif)" w:eastAsia="Times New Roman" w:hAnsi="var(--ds-type-system-serif)" w:cs="Times New Roman"/>
          <w:color w:val="121212"/>
          <w:sz w:val="24"/>
          <w:szCs w:val="24"/>
        </w:rPr>
        <w:t xml:space="preserve">That conclusion undermines the claim that </w:t>
      </w:r>
      <w:r w:rsidRPr="0040663C">
        <w:rPr>
          <w:rFonts w:ascii="var(--ds-type-system-serif)" w:eastAsia="Times New Roman" w:hAnsi="var(--ds-type-system-serif)" w:cs="Times New Roman"/>
          <w:color w:val="121212"/>
          <w:sz w:val="24"/>
          <w:szCs w:val="24"/>
          <w:highlight w:val="yellow"/>
        </w:rPr>
        <w:t>“secular stagnation”</w:t>
      </w:r>
      <w:r w:rsidRPr="0040663C">
        <w:rPr>
          <w:rFonts w:ascii="var(--ds-type-system-serif)" w:eastAsia="Times New Roman" w:hAnsi="var(--ds-type-system-serif)" w:cs="Times New Roman"/>
          <w:color w:val="121212"/>
          <w:sz w:val="24"/>
          <w:szCs w:val="24"/>
        </w:rPr>
        <w:t xml:space="preserve"> is a recent economic malaise. The concept gained prominence after Larry Summers of Harvard University used it in 2013 to describe the falling rates of return on investment and economic growth in the American economy since the 1970s. </w:t>
      </w:r>
      <w:proofErr w:type="spellStart"/>
      <w:r w:rsidRPr="0040663C">
        <w:rPr>
          <w:rFonts w:ascii="var(--ds-type-system-serif)" w:eastAsia="Times New Roman" w:hAnsi="var(--ds-type-system-serif)" w:cs="Times New Roman"/>
          <w:color w:val="121212"/>
          <w:sz w:val="24"/>
          <w:szCs w:val="24"/>
        </w:rPr>
        <w:t>Mr</w:t>
      </w:r>
      <w:proofErr w:type="spellEnd"/>
      <w:r w:rsidRPr="0040663C">
        <w:rPr>
          <w:rFonts w:ascii="var(--ds-type-system-serif)" w:eastAsia="Times New Roman" w:hAnsi="var(--ds-type-system-serif)" w:cs="Times New Roman"/>
          <w:color w:val="121212"/>
          <w:sz w:val="24"/>
          <w:szCs w:val="24"/>
        </w:rPr>
        <w:t xml:space="preserve"> </w:t>
      </w:r>
      <w:proofErr w:type="spellStart"/>
      <w:r w:rsidRPr="0040663C">
        <w:rPr>
          <w:rFonts w:ascii="var(--ds-type-system-serif)" w:eastAsia="Times New Roman" w:hAnsi="var(--ds-type-system-serif)" w:cs="Times New Roman"/>
          <w:color w:val="121212"/>
          <w:sz w:val="24"/>
          <w:szCs w:val="24"/>
        </w:rPr>
        <w:t>Schmelzing’s</w:t>
      </w:r>
      <w:proofErr w:type="spellEnd"/>
      <w:r w:rsidRPr="0040663C">
        <w:rPr>
          <w:rFonts w:ascii="var(--ds-type-system-serif)" w:eastAsia="Times New Roman" w:hAnsi="var(--ds-type-system-serif)" w:cs="Times New Roman"/>
          <w:color w:val="121212"/>
          <w:sz w:val="24"/>
          <w:szCs w:val="24"/>
        </w:rPr>
        <w:t xml:space="preserve"> data instead suggest that secular stagnation, insofar as it means falling interest rates, has been a feature of capitalism since its birth. Rates falling since the early 1980s may be less the result of acute problems, such as an ageing population, than markets simply snapping back to a centuries-old trend.</w:t>
      </w:r>
    </w:p>
    <w:p w:rsidR="0040663C" w:rsidRPr="0040663C" w:rsidRDefault="0040663C" w:rsidP="0040663C">
      <w:pPr>
        <w:spacing w:before="100" w:beforeAutospacing="1" w:after="100" w:afterAutospacing="1" w:line="240" w:lineRule="auto"/>
        <w:textAlignment w:val="baseline"/>
        <w:rPr>
          <w:rFonts w:ascii="var(--ds-type-system-serif)" w:eastAsia="Times New Roman" w:hAnsi="var(--ds-type-system-serif)" w:cs="Times New Roman"/>
          <w:color w:val="121212"/>
          <w:sz w:val="24"/>
          <w:szCs w:val="24"/>
        </w:rPr>
      </w:pPr>
      <w:r w:rsidRPr="0040663C">
        <w:rPr>
          <w:rFonts w:ascii="var(--ds-type-system-serif)" w:eastAsia="Times New Roman" w:hAnsi="var(--ds-type-system-serif)" w:cs="Times New Roman"/>
          <w:color w:val="121212"/>
          <w:sz w:val="24"/>
          <w:szCs w:val="24"/>
        </w:rPr>
        <w:t xml:space="preserve">The data also challenge some of the arguments of </w:t>
      </w:r>
      <w:r w:rsidRPr="0040663C">
        <w:rPr>
          <w:rFonts w:ascii="var(--ds-type-system-serif)" w:eastAsia="Times New Roman" w:hAnsi="var(--ds-type-system-serif)" w:cs="Times New Roman"/>
          <w:color w:val="121212"/>
          <w:sz w:val="24"/>
          <w:szCs w:val="24"/>
          <w:highlight w:val="yellow"/>
        </w:rPr>
        <w:t>Thomas Piketty</w:t>
      </w:r>
      <w:r w:rsidRPr="0040663C">
        <w:rPr>
          <w:rFonts w:ascii="var(--ds-type-system-serif)" w:eastAsia="Times New Roman" w:hAnsi="var(--ds-type-system-serif)" w:cs="Times New Roman"/>
          <w:color w:val="121212"/>
          <w:sz w:val="24"/>
          <w:szCs w:val="24"/>
        </w:rPr>
        <w:t xml:space="preserve">’s “Capital in the Twenty-First Century”, one of the best-selling economics books of all time. These rely on the claim that the return on capital has stayed constant and been consistently higher than economic growth. Under such conditions capitalism produces ever-greater income inequality, </w:t>
      </w:r>
      <w:proofErr w:type="spellStart"/>
      <w:r w:rsidRPr="0040663C">
        <w:rPr>
          <w:rFonts w:ascii="var(--ds-type-system-serif)" w:eastAsia="Times New Roman" w:hAnsi="var(--ds-type-system-serif)" w:cs="Times New Roman"/>
          <w:color w:val="121212"/>
          <w:sz w:val="24"/>
          <w:szCs w:val="24"/>
        </w:rPr>
        <w:t>Mr</w:t>
      </w:r>
      <w:proofErr w:type="spellEnd"/>
      <w:r w:rsidRPr="0040663C">
        <w:rPr>
          <w:rFonts w:ascii="var(--ds-type-system-serif)" w:eastAsia="Times New Roman" w:hAnsi="var(--ds-type-system-serif)" w:cs="Times New Roman"/>
          <w:color w:val="121212"/>
          <w:sz w:val="24"/>
          <w:szCs w:val="24"/>
        </w:rPr>
        <w:t xml:space="preserve"> Piketty claims, since there are no forces acting against the steady concentration of wealth. If real interest rates—and hence, returns on capital—have been falling for centuries, however, there may well be such a force.</w:t>
      </w:r>
    </w:p>
    <w:p w:rsidR="0040663C" w:rsidRPr="0040663C" w:rsidRDefault="0040663C" w:rsidP="0040663C">
      <w:pPr>
        <w:spacing w:beforeAutospacing="1" w:after="0" w:afterAutospacing="1" w:line="240" w:lineRule="auto"/>
        <w:textAlignment w:val="baseline"/>
        <w:rPr>
          <w:rFonts w:ascii="var(--ds-type-system-serif)" w:eastAsia="Times New Roman" w:hAnsi="var(--ds-type-system-serif)" w:cs="Times New Roman"/>
          <w:color w:val="121212"/>
          <w:sz w:val="24"/>
          <w:szCs w:val="24"/>
        </w:rPr>
      </w:pPr>
      <w:proofErr w:type="spellStart"/>
      <w:r w:rsidRPr="0040663C">
        <w:rPr>
          <w:rFonts w:ascii="var(--ds-type-system-serif)" w:eastAsia="Times New Roman" w:hAnsi="var(--ds-type-system-serif)" w:cs="Times New Roman"/>
          <w:color w:val="121212"/>
          <w:sz w:val="24"/>
          <w:szCs w:val="24"/>
        </w:rPr>
        <w:t>Mr</w:t>
      </w:r>
      <w:proofErr w:type="spellEnd"/>
      <w:r w:rsidRPr="0040663C">
        <w:rPr>
          <w:rFonts w:ascii="var(--ds-type-system-serif)" w:eastAsia="Times New Roman" w:hAnsi="var(--ds-type-system-serif)" w:cs="Times New Roman"/>
          <w:color w:val="121212"/>
          <w:sz w:val="24"/>
          <w:szCs w:val="24"/>
        </w:rPr>
        <w:t xml:space="preserve"> </w:t>
      </w:r>
      <w:proofErr w:type="spellStart"/>
      <w:r w:rsidRPr="0040663C">
        <w:rPr>
          <w:rFonts w:ascii="var(--ds-type-system-serif)" w:eastAsia="Times New Roman" w:hAnsi="var(--ds-type-system-serif)" w:cs="Times New Roman"/>
          <w:color w:val="121212"/>
          <w:sz w:val="24"/>
          <w:szCs w:val="24"/>
        </w:rPr>
        <w:t>Schmelzing’s</w:t>
      </w:r>
      <w:proofErr w:type="spellEnd"/>
      <w:r w:rsidRPr="0040663C">
        <w:rPr>
          <w:rFonts w:ascii="var(--ds-type-system-serif)" w:eastAsia="Times New Roman" w:hAnsi="var(--ds-type-system-serif)" w:cs="Times New Roman"/>
          <w:color w:val="121212"/>
          <w:sz w:val="24"/>
          <w:szCs w:val="24"/>
        </w:rPr>
        <w:t xml:space="preserve"> conclusions pose an even starker challenge to central bankers. </w:t>
      </w:r>
      <w:r w:rsidRPr="0040663C">
        <w:rPr>
          <w:rFonts w:ascii="var(--ds-type-system-serif)" w:eastAsia="Times New Roman" w:hAnsi="var(--ds-type-system-serif)" w:cs="Times New Roman"/>
          <w:color w:val="121212"/>
          <w:sz w:val="24"/>
          <w:szCs w:val="24"/>
          <w:highlight w:val="yellow"/>
        </w:rPr>
        <w:t>If the historical trend continues, by the late 2020s global short-term real rates will have reached permanently negative territory.</w:t>
      </w:r>
      <w:r w:rsidRPr="0040663C">
        <w:rPr>
          <w:rFonts w:ascii="var(--ds-type-system-serif)" w:eastAsia="Times New Roman" w:hAnsi="var(--ds-type-system-serif)" w:cs="Times New Roman"/>
          <w:color w:val="121212"/>
          <w:sz w:val="24"/>
          <w:szCs w:val="24"/>
        </w:rPr>
        <w:t xml:space="preserve"> By the late 21st century, long-term rates will have joined them. Even unconventional monetary policies, which rely on driving down long-term rates, would then lose traction. </w:t>
      </w:r>
      <w:r w:rsidRPr="0040663C">
        <w:rPr>
          <w:rFonts w:ascii="var(--ds-type-system-serif)" w:eastAsia="Times New Roman" w:hAnsi="var(--ds-type-system-serif)" w:cs="Times New Roman"/>
          <w:color w:val="121212"/>
          <w:sz w:val="24"/>
          <w:szCs w:val="24"/>
          <w:highlight w:val="yellow"/>
        </w:rPr>
        <w:t>Any hopes for nominal rates of 2% or more, in the long term, may prove to be a pipe dream.</w:t>
      </w:r>
      <w:r w:rsidRPr="0040663C">
        <w:rPr>
          <w:rFonts w:ascii="var(--ds-type-system-serif)" w:eastAsia="Times New Roman" w:hAnsi="var(--ds-type-system-serif)" w:cs="Times New Roman"/>
          <w:color w:val="121212"/>
          <w:sz w:val="24"/>
          <w:szCs w:val="24"/>
        </w:rPr>
        <w:t> </w:t>
      </w:r>
      <w:r w:rsidRPr="0040663C">
        <w:rPr>
          <w:rFonts w:ascii="inherit" w:eastAsia="Times New Roman" w:hAnsi="inherit" w:cs="Times New Roman"/>
          <w:color w:val="121212"/>
          <w:sz w:val="2"/>
          <w:szCs w:val="2"/>
          <w:bdr w:val="none" w:sz="0" w:space="0" w:color="auto" w:frame="1"/>
        </w:rPr>
        <w:t>■</w:t>
      </w:r>
    </w:p>
    <w:p w:rsidR="0040663C" w:rsidRPr="0040663C" w:rsidRDefault="0040663C" w:rsidP="0040663C">
      <w:pPr>
        <w:spacing w:beforeAutospacing="1" w:after="0" w:afterAutospacing="1" w:line="240" w:lineRule="auto"/>
        <w:textAlignment w:val="baseline"/>
        <w:rPr>
          <w:rFonts w:ascii="var(--ds-type-system-serif)" w:eastAsia="Times New Roman" w:hAnsi="var(--ds-type-system-serif)" w:cs="Times New Roman"/>
          <w:color w:val="121212"/>
          <w:sz w:val="24"/>
          <w:szCs w:val="24"/>
        </w:rPr>
      </w:pPr>
      <w:r w:rsidRPr="0040663C">
        <w:rPr>
          <w:rFonts w:ascii="inherit" w:eastAsia="Times New Roman" w:hAnsi="inherit" w:cs="Times New Roman"/>
          <w:color w:val="121212"/>
          <w:sz w:val="20"/>
          <w:szCs w:val="20"/>
          <w:bdr w:val="none" w:sz="0" w:space="0" w:color="auto" w:frame="1"/>
          <w:vertAlign w:val="superscript"/>
        </w:rPr>
        <w:t xml:space="preserve">*P. </w:t>
      </w:r>
      <w:proofErr w:type="spellStart"/>
      <w:r w:rsidRPr="0040663C">
        <w:rPr>
          <w:rFonts w:ascii="inherit" w:eastAsia="Times New Roman" w:hAnsi="inherit" w:cs="Times New Roman"/>
          <w:color w:val="121212"/>
          <w:sz w:val="20"/>
          <w:szCs w:val="20"/>
          <w:bdr w:val="none" w:sz="0" w:space="0" w:color="auto" w:frame="1"/>
          <w:vertAlign w:val="superscript"/>
        </w:rPr>
        <w:t>Schmelzing</w:t>
      </w:r>
      <w:proofErr w:type="spellEnd"/>
      <w:r w:rsidRPr="0040663C">
        <w:rPr>
          <w:rFonts w:ascii="inherit" w:eastAsia="Times New Roman" w:hAnsi="inherit" w:cs="Times New Roman"/>
          <w:color w:val="121212"/>
          <w:sz w:val="20"/>
          <w:szCs w:val="20"/>
          <w:bdr w:val="none" w:sz="0" w:space="0" w:color="auto" w:frame="1"/>
          <w:vertAlign w:val="superscript"/>
        </w:rPr>
        <w:t>, “Eight centuries of global real interest rates, R-G, and the ‘</w:t>
      </w:r>
      <w:proofErr w:type="spellStart"/>
      <w:r w:rsidRPr="0040663C">
        <w:rPr>
          <w:rFonts w:ascii="inherit" w:eastAsia="Times New Roman" w:hAnsi="inherit" w:cs="Times New Roman"/>
          <w:color w:val="121212"/>
          <w:sz w:val="20"/>
          <w:szCs w:val="20"/>
          <w:bdr w:val="none" w:sz="0" w:space="0" w:color="auto" w:frame="1"/>
          <w:vertAlign w:val="superscript"/>
        </w:rPr>
        <w:t>suprasecular</w:t>
      </w:r>
      <w:proofErr w:type="spellEnd"/>
      <w:r w:rsidRPr="0040663C">
        <w:rPr>
          <w:rFonts w:ascii="inherit" w:eastAsia="Times New Roman" w:hAnsi="inherit" w:cs="Times New Roman"/>
          <w:color w:val="121212"/>
          <w:sz w:val="20"/>
          <w:szCs w:val="20"/>
          <w:bdr w:val="none" w:sz="0" w:space="0" w:color="auto" w:frame="1"/>
          <w:vertAlign w:val="superscript"/>
        </w:rPr>
        <w:t>’ decline, 1311-2018”, Bank of England Staff Working Paper No. 845, January 2020.</w:t>
      </w:r>
    </w:p>
    <w:p w:rsidR="0040663C" w:rsidRPr="0040663C" w:rsidRDefault="0040663C" w:rsidP="0040663C">
      <w:pPr>
        <w:spacing w:before="100" w:beforeAutospacing="1" w:after="100" w:afterAutospacing="1" w:line="240" w:lineRule="auto"/>
        <w:textAlignment w:val="baseline"/>
        <w:rPr>
          <w:rFonts w:ascii="var(--ds-type-system-serif)" w:eastAsia="Times New Roman" w:hAnsi="var(--ds-type-system-serif)" w:cs="Times New Roman"/>
          <w:i/>
          <w:iCs/>
          <w:color w:val="121212"/>
          <w:sz w:val="24"/>
          <w:szCs w:val="24"/>
        </w:rPr>
      </w:pPr>
      <w:r w:rsidRPr="0040663C">
        <w:rPr>
          <w:rFonts w:ascii="var(--ds-type-system-serif)" w:eastAsia="Times New Roman" w:hAnsi="var(--ds-type-system-serif)" w:cs="Times New Roman"/>
          <w:i/>
          <w:iCs/>
          <w:color w:val="121212"/>
          <w:sz w:val="24"/>
          <w:szCs w:val="24"/>
        </w:rPr>
        <w:t>This article appeared in the Finance and economics section of the print edition under the headline "New research suggests that secular stagnation is centuries old"</w:t>
      </w:r>
    </w:p>
    <w:p w:rsidR="0040663C" w:rsidRPr="0040663C" w:rsidRDefault="0040663C" w:rsidP="0040663C">
      <w:pPr>
        <w:spacing w:after="0" w:line="240" w:lineRule="auto"/>
        <w:textAlignment w:val="baseline"/>
        <w:rPr>
          <w:rFonts w:ascii="Calisto MT" w:eastAsia="Times New Roman" w:hAnsi="Calisto MT" w:cs="Times New Roman"/>
          <w:color w:val="121212"/>
          <w:sz w:val="24"/>
          <w:szCs w:val="24"/>
        </w:rPr>
      </w:pPr>
      <w:hyperlink r:id="rId8" w:tgtFrame="_blank" w:history="1">
        <w:r w:rsidRPr="0040663C">
          <w:rPr>
            <w:rFonts w:ascii="var(--ds-type-system-sans)" w:eastAsia="Times New Roman" w:hAnsi="var(--ds-type-system-sans)" w:cs="Times New Roman"/>
            <w:color w:val="0000FF"/>
            <w:sz w:val="24"/>
            <w:szCs w:val="24"/>
            <w:u w:val="single"/>
          </w:rPr>
          <w:t xml:space="preserve">Reuse this </w:t>
        </w:r>
        <w:proofErr w:type="spellStart"/>
        <w:r w:rsidRPr="0040663C">
          <w:rPr>
            <w:rFonts w:ascii="var(--ds-type-system-sans)" w:eastAsia="Times New Roman" w:hAnsi="var(--ds-type-system-sans)" w:cs="Times New Roman"/>
            <w:color w:val="0000FF"/>
            <w:sz w:val="24"/>
            <w:szCs w:val="24"/>
            <w:u w:val="single"/>
          </w:rPr>
          <w:t>content</w:t>
        </w:r>
      </w:hyperlink>
      <w:hyperlink r:id="rId9" w:tgtFrame="_self" w:history="1">
        <w:r w:rsidRPr="0040663C">
          <w:rPr>
            <w:rFonts w:ascii="var(--ds-type-system-sans)" w:eastAsia="Times New Roman" w:hAnsi="var(--ds-type-system-sans)" w:cs="Times New Roman"/>
            <w:color w:val="0000FF"/>
            <w:sz w:val="24"/>
            <w:szCs w:val="24"/>
            <w:u w:val="single"/>
          </w:rPr>
          <w:t>The</w:t>
        </w:r>
        <w:proofErr w:type="spellEnd"/>
        <w:r w:rsidRPr="0040663C">
          <w:rPr>
            <w:rFonts w:ascii="var(--ds-type-system-sans)" w:eastAsia="Times New Roman" w:hAnsi="var(--ds-type-system-sans)" w:cs="Times New Roman"/>
            <w:color w:val="0000FF"/>
            <w:sz w:val="24"/>
            <w:szCs w:val="24"/>
            <w:u w:val="single"/>
          </w:rPr>
          <w:t xml:space="preserve"> Trust Project</w:t>
        </w:r>
      </w:hyperlink>
    </w:p>
    <w:p w:rsidR="0040663C" w:rsidRDefault="0040663C"/>
    <w:sectPr w:rsidR="00406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var(--ds-type-system-sans)">
    <w:altName w:val="Times New Roman"/>
    <w:panose1 w:val="00000000000000000000"/>
    <w:charset w:val="00"/>
    <w:family w:val="roman"/>
    <w:notTrueType/>
    <w:pitch w:val="default"/>
  </w:font>
  <w:font w:name="var(--ds-type-system-serif)">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63C"/>
    <w:rsid w:val="003037F3"/>
    <w:rsid w:val="0040663C"/>
    <w:rsid w:val="004F3A02"/>
    <w:rsid w:val="00B43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8DACB-72EF-4EF0-AC21-C323D2AE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066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663C"/>
    <w:rPr>
      <w:color w:val="0000FF"/>
      <w:u w:val="single"/>
    </w:rPr>
  </w:style>
  <w:style w:type="character" w:styleId="FollowedHyperlink">
    <w:name w:val="FollowedHyperlink"/>
    <w:basedOn w:val="DefaultParagraphFont"/>
    <w:uiPriority w:val="99"/>
    <w:semiHidden/>
    <w:unhideWhenUsed/>
    <w:rsid w:val="0040663C"/>
    <w:rPr>
      <w:color w:val="954F72" w:themeColor="followedHyperlink"/>
      <w:u w:val="single"/>
    </w:rPr>
  </w:style>
  <w:style w:type="character" w:customStyle="1" w:styleId="Heading1Char">
    <w:name w:val="Heading 1 Char"/>
    <w:basedOn w:val="DefaultParagraphFont"/>
    <w:link w:val="Heading1"/>
    <w:uiPriority w:val="9"/>
    <w:rsid w:val="0040663C"/>
    <w:rPr>
      <w:rFonts w:ascii="Times New Roman" w:eastAsia="Times New Roman" w:hAnsi="Times New Roman" w:cs="Times New Roman"/>
      <w:b/>
      <w:bCs/>
      <w:kern w:val="36"/>
      <w:sz w:val="48"/>
      <w:szCs w:val="48"/>
    </w:rPr>
  </w:style>
  <w:style w:type="character" w:customStyle="1" w:styleId="articlesubheadline">
    <w:name w:val="article__subheadline"/>
    <w:basedOn w:val="DefaultParagraphFont"/>
    <w:rsid w:val="0040663C"/>
  </w:style>
  <w:style w:type="character" w:customStyle="1" w:styleId="articleheadline">
    <w:name w:val="article__headline"/>
    <w:basedOn w:val="DefaultParagraphFont"/>
    <w:rsid w:val="0040663C"/>
  </w:style>
  <w:style w:type="paragraph" w:customStyle="1" w:styleId="articledescription">
    <w:name w:val="article__description"/>
    <w:basedOn w:val="Normal"/>
    <w:rsid w:val="004066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ction-headline">
    <w:name w:val="article__section-headline"/>
    <w:basedOn w:val="DefaultParagraphFont"/>
    <w:rsid w:val="0040663C"/>
  </w:style>
  <w:style w:type="paragraph" w:customStyle="1" w:styleId="articlebody-text">
    <w:name w:val="article__body-text"/>
    <w:basedOn w:val="Normal"/>
    <w:rsid w:val="004066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ootnote">
    <w:name w:val="article__footnote"/>
    <w:basedOn w:val="Normal"/>
    <w:rsid w:val="004066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332228">
      <w:bodyDiv w:val="1"/>
      <w:marLeft w:val="0"/>
      <w:marRight w:val="0"/>
      <w:marTop w:val="0"/>
      <w:marBottom w:val="0"/>
      <w:divBdr>
        <w:top w:val="none" w:sz="0" w:space="0" w:color="auto"/>
        <w:left w:val="none" w:sz="0" w:space="0" w:color="auto"/>
        <w:bottom w:val="none" w:sz="0" w:space="0" w:color="auto"/>
        <w:right w:val="none" w:sz="0" w:space="0" w:color="auto"/>
      </w:divBdr>
      <w:divsChild>
        <w:div w:id="2069496113">
          <w:marLeft w:val="0"/>
          <w:marRight w:val="0"/>
          <w:marTop w:val="0"/>
          <w:marBottom w:val="0"/>
          <w:divBdr>
            <w:top w:val="none" w:sz="0" w:space="0" w:color="auto"/>
            <w:left w:val="none" w:sz="0" w:space="0" w:color="auto"/>
            <w:bottom w:val="none" w:sz="0" w:space="0" w:color="auto"/>
            <w:right w:val="none" w:sz="0" w:space="0" w:color="auto"/>
          </w:divBdr>
          <w:divsChild>
            <w:div w:id="860433026">
              <w:marLeft w:val="0"/>
              <w:marRight w:val="0"/>
              <w:marTop w:val="0"/>
              <w:marBottom w:val="0"/>
              <w:divBdr>
                <w:top w:val="none" w:sz="0" w:space="0" w:color="auto"/>
                <w:left w:val="none" w:sz="0" w:space="0" w:color="auto"/>
                <w:bottom w:val="none" w:sz="0" w:space="0" w:color="auto"/>
                <w:right w:val="none" w:sz="0" w:space="0" w:color="auto"/>
              </w:divBdr>
              <w:divsChild>
                <w:div w:id="1263992957">
                  <w:marLeft w:val="0"/>
                  <w:marRight w:val="0"/>
                  <w:marTop w:val="0"/>
                  <w:marBottom w:val="0"/>
                  <w:divBdr>
                    <w:top w:val="none" w:sz="0" w:space="0" w:color="auto"/>
                    <w:left w:val="none" w:sz="0" w:space="0" w:color="auto"/>
                    <w:bottom w:val="none" w:sz="0" w:space="0" w:color="auto"/>
                    <w:right w:val="none" w:sz="0" w:space="0" w:color="auto"/>
                  </w:divBdr>
                </w:div>
              </w:divsChild>
            </w:div>
            <w:div w:id="1319305833">
              <w:marLeft w:val="0"/>
              <w:marRight w:val="0"/>
              <w:marTop w:val="0"/>
              <w:marBottom w:val="0"/>
              <w:divBdr>
                <w:top w:val="none" w:sz="0" w:space="0" w:color="auto"/>
                <w:left w:val="none" w:sz="0" w:space="0" w:color="auto"/>
                <w:bottom w:val="none" w:sz="0" w:space="0" w:color="auto"/>
                <w:right w:val="none" w:sz="0" w:space="0" w:color="auto"/>
              </w:divBdr>
            </w:div>
          </w:divsChild>
        </w:div>
        <w:div w:id="592591789">
          <w:marLeft w:val="0"/>
          <w:marRight w:val="0"/>
          <w:marTop w:val="0"/>
          <w:marBottom w:val="0"/>
          <w:divBdr>
            <w:top w:val="none" w:sz="0" w:space="0" w:color="auto"/>
            <w:left w:val="none" w:sz="0" w:space="0" w:color="auto"/>
            <w:bottom w:val="none" w:sz="0" w:space="0" w:color="auto"/>
            <w:right w:val="none" w:sz="0" w:space="0" w:color="auto"/>
          </w:divBdr>
          <w:divsChild>
            <w:div w:id="757216297">
              <w:marLeft w:val="0"/>
              <w:marRight w:val="0"/>
              <w:marTop w:val="0"/>
              <w:marBottom w:val="0"/>
              <w:divBdr>
                <w:top w:val="none" w:sz="0" w:space="0" w:color="auto"/>
                <w:left w:val="none" w:sz="0" w:space="0" w:color="auto"/>
                <w:bottom w:val="none" w:sz="0" w:space="0" w:color="auto"/>
                <w:right w:val="none" w:sz="0" w:space="0" w:color="auto"/>
              </w:divBdr>
              <w:divsChild>
                <w:div w:id="776094542">
                  <w:marLeft w:val="0"/>
                  <w:marRight w:val="0"/>
                  <w:marTop w:val="0"/>
                  <w:marBottom w:val="0"/>
                  <w:divBdr>
                    <w:top w:val="none" w:sz="0" w:space="0" w:color="auto"/>
                    <w:left w:val="none" w:sz="0" w:space="0" w:color="auto"/>
                    <w:bottom w:val="none" w:sz="0" w:space="0" w:color="auto"/>
                    <w:right w:val="none" w:sz="0" w:space="0" w:color="auto"/>
                  </w:divBdr>
                </w:div>
              </w:divsChild>
            </w:div>
            <w:div w:id="23213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100.copyright.com/AppDispatchServlet?publisherName=economist&amp;publication=economist&amp;title=New%20research%20suggests%20that%20secular%20stagnation%20is%20centuries%20old&amp;publicationDate=2020-01-09&amp;contentID=%2Fcontent%2F462v9ilidk8f8ptsincq3c2famlufv0r&amp;type=A&amp;orderBeanReset=TRUE"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conomist.com/finance-and-economic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www.economist.com/finance-and-economics/2020/01/09/new-research-suggests-that-secular-stagnation-is-centuries-old" TargetMode="External"/><Relationship Id="rId9" Type="http://schemas.openxmlformats.org/officeDocument/2006/relationships/hyperlink" Target="https://www.economist.com/about-the-econom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2</cp:revision>
  <dcterms:created xsi:type="dcterms:W3CDTF">2020-02-09T15:24:00Z</dcterms:created>
  <dcterms:modified xsi:type="dcterms:W3CDTF">2020-02-09T15:37:00Z</dcterms:modified>
</cp:coreProperties>
</file>